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612ED" w14:textId="77777777" w:rsidR="002D444E" w:rsidRPr="00F12286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F12286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F12286">
        <w:rPr>
          <w:rFonts w:ascii="Times New Roman" w:hAnsi="Times New Roman" w:cs="Times New Roman"/>
          <w:b/>
          <w:sz w:val="24"/>
          <w:szCs w:val="24"/>
        </w:rPr>
        <w:t xml:space="preserve"> Obrazac obrazloženja financijskog plana</w:t>
      </w:r>
    </w:p>
    <w:p w14:paraId="3C4222C1" w14:textId="77777777" w:rsidR="00EF05CF" w:rsidRPr="009D005B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>
        <w:rPr>
          <w:b/>
          <w:sz w:val="28"/>
        </w:rPr>
        <w:t>Sažetak djelokruga rada proračunskog korisnika</w:t>
      </w:r>
    </w:p>
    <w:p w14:paraId="4E79E2E9" w14:textId="77777777" w:rsidR="00146A02" w:rsidRPr="00BB151E" w:rsidRDefault="00146A02" w:rsidP="00146A02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Fakultet političkih znanosti Sveučilišta u Zagrebu je javna ustanova, javno visoko učilište, sastavnica Sveučilišta u Zagrebu, koje ustrojava i izvodi sveučilišne studije u skladu sa Zakonom o znanstvenoj djelatnosti i visokom obrazovanju i Statutom Fakulteta, te razvija znanstveni i stručni rad u znanstvenom polju politologije  i srodnim poljima.</w:t>
      </w:r>
    </w:p>
    <w:p w14:paraId="3502F51D" w14:textId="77777777" w:rsidR="00146A02" w:rsidRPr="00BB151E" w:rsidRDefault="00146A02" w:rsidP="00146A02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</w:p>
    <w:p w14:paraId="4D8225A9" w14:textId="6888DCBF" w:rsidR="00146A02" w:rsidRPr="00BB151E" w:rsidRDefault="00146A02" w:rsidP="00146A02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Fakultet političkih znanosti Sveučilišta u Zagrebu je pravna osoba upisana u sudski registar ustanova i upisnik visokih učilišta i znanstvenoistraživačkih pravnih osoba, koji se vodi u Ministarstvu znanosti, obrazovanja i sporta Republike Hrvatske, te djeluje samostalno na načelu akademske samouprave i akademskih sloboda. </w:t>
      </w:r>
    </w:p>
    <w:p w14:paraId="65896B85" w14:textId="6540D9AB" w:rsidR="00F2590B" w:rsidRPr="00BB151E" w:rsidRDefault="00F2590B" w:rsidP="00146A02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Na Fakultetu političkih znanosti izvode se preddiplomski sveučilišni studiji Politologija i Novinarstvo, diplomski sveučilišni studiji Politologija, Novinarstvo i Master of European Studies (na Engleskom jeziku), doktorski studij Politologija te poslijediplomski specijalistički studiji Prilagodba Europskoj Uniji, Vanjska politika i diplomacija, Odnosi s javnošću te </w:t>
      </w:r>
      <w:r w:rsidR="00861C74" w:rsidRPr="00BB151E">
        <w:rPr>
          <w:rFonts w:cstheme="minorHAnsi"/>
          <w:bCs/>
          <w:sz w:val="24"/>
          <w:szCs w:val="24"/>
        </w:rPr>
        <w:t xml:space="preserve">Sigurnosna politika Republike Hrvatske. Na Fakultetu političkih znanosti djeluju Televizija student, Radio student i studentske novine Global, koji djeluju i kao studentski mediji s radijskim i televizijskim programom te internetskim portalima. </w:t>
      </w:r>
    </w:p>
    <w:p w14:paraId="03EB678A" w14:textId="364CF2F5" w:rsidR="006C038A" w:rsidRPr="00BB151E" w:rsidRDefault="006C038A" w:rsidP="00146A02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>Na Fakultet je u akademskoj godini 2020/2021 upisano 1248 studenata na preddiplomskim i diplomskim studijima, dok se broj studenata upisanih na poslijediplomske specijalističke studije kreće oko 100</w:t>
      </w:r>
      <w:r w:rsidR="00375507" w:rsidRPr="00BB151E">
        <w:rPr>
          <w:rFonts w:cstheme="minorHAnsi"/>
          <w:bCs/>
          <w:sz w:val="24"/>
          <w:szCs w:val="24"/>
        </w:rPr>
        <w:t xml:space="preserve"> za svaku razinu studija</w:t>
      </w:r>
      <w:r w:rsidRPr="00BB151E">
        <w:rPr>
          <w:rFonts w:cstheme="minorHAnsi"/>
          <w:bCs/>
          <w:sz w:val="24"/>
          <w:szCs w:val="24"/>
        </w:rPr>
        <w:t>.</w:t>
      </w:r>
    </w:p>
    <w:p w14:paraId="41116EEE" w14:textId="0B21244E" w:rsidR="00375507" w:rsidRPr="00BB151E" w:rsidRDefault="00375507" w:rsidP="00146A02">
      <w:pPr>
        <w:pStyle w:val="ListParagraph"/>
        <w:ind w:left="0"/>
        <w:jc w:val="both"/>
        <w:rPr>
          <w:rFonts w:cstheme="minorHAnsi"/>
          <w:bCs/>
          <w:sz w:val="24"/>
          <w:szCs w:val="24"/>
        </w:rPr>
      </w:pPr>
      <w:r w:rsidRPr="00BB151E">
        <w:rPr>
          <w:rFonts w:cstheme="minorHAnsi"/>
          <w:bCs/>
          <w:sz w:val="24"/>
          <w:szCs w:val="24"/>
        </w:rPr>
        <w:t xml:space="preserve">Ukupno na fakultetu radi 63 zaposlenika u znanstveno-nastavnom zvanju, 10 zaposlenika u suradničkom zvanju te 6 zaposlenika u zvanju predavača. Omjer studenata i nastavnika na preddiplomskom i diplomskom studiju iznosi 15,8, odnosno oko 18 kad se ukupno gledaju svi studiji. </w:t>
      </w:r>
    </w:p>
    <w:p w14:paraId="2D1B8B64" w14:textId="77777777" w:rsidR="00BB47B9" w:rsidRDefault="00BB47B9" w:rsidP="00BB47B9">
      <w:pPr>
        <w:jc w:val="both"/>
      </w:pPr>
    </w:p>
    <w:p w14:paraId="14BF5698" w14:textId="77777777" w:rsidR="00F815A6" w:rsidRPr="009D005B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9D005B">
        <w:rPr>
          <w:b/>
          <w:sz w:val="28"/>
        </w:rPr>
        <w:t>Šifra i naziv aktivnosti/ projekta</w:t>
      </w:r>
    </w:p>
    <w:p w14:paraId="0B69C1D7" w14:textId="77777777" w:rsidR="00F815A6" w:rsidRPr="009D005B" w:rsidRDefault="00F815A6" w:rsidP="00F815A6">
      <w:pPr>
        <w:jc w:val="both"/>
      </w:pPr>
      <w:r w:rsidRPr="009D005B">
        <w:t>Obrazac za unos teksta:</w:t>
      </w:r>
    </w:p>
    <w:p w14:paraId="733E068E" w14:textId="77777777" w:rsidR="00F815A6" w:rsidRPr="009D005B" w:rsidRDefault="00F815A6" w:rsidP="00F815A6">
      <w:pPr>
        <w:spacing w:after="0"/>
        <w:jc w:val="both"/>
        <w:rPr>
          <w:i/>
        </w:rPr>
      </w:pPr>
      <w:r w:rsidRPr="009D005B">
        <w:rPr>
          <w:i/>
        </w:rPr>
        <w:t>Zakonske i druge pravne osnove</w:t>
      </w:r>
    </w:p>
    <w:p w14:paraId="2D8E714B" w14:textId="77777777" w:rsidR="001B0F7A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i/>
        </w:rPr>
      </w:pPr>
      <w:r w:rsidRPr="001B0F7A">
        <w:rPr>
          <w:i/>
        </w:rPr>
        <w:t>Zakon o znanstvenoj djelatnosti i visokom obrazovanju</w:t>
      </w:r>
      <w:r>
        <w:rPr>
          <w:i/>
        </w:rPr>
        <w:t>, članak</w:t>
      </w:r>
    </w:p>
    <w:p w14:paraId="42DD38E8" w14:textId="75D69A8B" w:rsidR="00F815A6" w:rsidRDefault="003239CD" w:rsidP="003239CD">
      <w:pPr>
        <w:pStyle w:val="ListParagraph"/>
        <w:numPr>
          <w:ilvl w:val="0"/>
          <w:numId w:val="1"/>
        </w:numPr>
        <w:jc w:val="both"/>
        <w:rPr>
          <w:i/>
        </w:rPr>
      </w:pPr>
      <w:r w:rsidRPr="003239CD">
        <w:rPr>
          <w:i/>
        </w:rPr>
        <w:t xml:space="preserve">Temeljni kolektivni ugovor za službenike i namještenike u </w:t>
      </w:r>
      <w:r w:rsidR="00861C74">
        <w:rPr>
          <w:i/>
        </w:rPr>
        <w:t>znanosti i visokom obrazovanju</w:t>
      </w:r>
    </w:p>
    <w:p w14:paraId="44F3B803" w14:textId="7EBF78F9" w:rsidR="00861C74" w:rsidRDefault="00861C74" w:rsidP="003239CD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Statut Sveučilišta u Zagrebu</w:t>
      </w:r>
    </w:p>
    <w:p w14:paraId="1290E750" w14:textId="1222B12D" w:rsidR="00861C74" w:rsidRDefault="00861C74" w:rsidP="003239CD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Statut Fakulteta političkih znanosti</w:t>
      </w:r>
    </w:p>
    <w:p w14:paraId="57F3BBD3" w14:textId="0C99FD7F" w:rsidR="00861C74" w:rsidRPr="003239CD" w:rsidRDefault="00861C74" w:rsidP="003239CD">
      <w:pPr>
        <w:pStyle w:val="ListParagraph"/>
        <w:numPr>
          <w:ilvl w:val="0"/>
          <w:numId w:val="1"/>
        </w:numPr>
        <w:jc w:val="both"/>
        <w:rPr>
          <w:i/>
        </w:rPr>
      </w:pPr>
      <w:r>
        <w:rPr>
          <w:i/>
        </w:rPr>
        <w:t>Strateški plan znanstvenih istra</w:t>
      </w:r>
      <w:r w:rsidR="00E83B73">
        <w:rPr>
          <w:i/>
        </w:rPr>
        <w:t>živanja Fakulteta političkih znanosti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3"/>
        <w:gridCol w:w="1236"/>
        <w:gridCol w:w="1213"/>
        <w:gridCol w:w="1213"/>
        <w:gridCol w:w="1211"/>
        <w:gridCol w:w="1213"/>
        <w:gridCol w:w="1233"/>
      </w:tblGrid>
      <w:tr w:rsidR="00B02E95" w:rsidRPr="009D005B" w14:paraId="0978D1B9" w14:textId="77777777" w:rsidTr="00B77EF7">
        <w:tc>
          <w:tcPr>
            <w:tcW w:w="1838" w:type="dxa"/>
            <w:shd w:val="clear" w:color="auto" w:fill="D0CECE" w:themeFill="background2" w:themeFillShade="E6"/>
          </w:tcPr>
          <w:p w14:paraId="3BDCF645" w14:textId="77777777" w:rsidR="00F815A6" w:rsidRPr="009D005B" w:rsidRDefault="00F815A6" w:rsidP="00B77EF7">
            <w:pPr>
              <w:jc w:val="both"/>
            </w:pPr>
          </w:p>
          <w:p w14:paraId="26E094AD" w14:textId="77777777" w:rsidR="00F815A6" w:rsidRPr="009D005B" w:rsidRDefault="00F815A6" w:rsidP="00B77EF7">
            <w:pPr>
              <w:jc w:val="both"/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10B48200" w14:textId="77777777" w:rsidR="00F815A6" w:rsidRPr="009D005B" w:rsidRDefault="00F815A6" w:rsidP="00B77EF7">
            <w:pPr>
              <w:jc w:val="center"/>
            </w:pPr>
            <w:r w:rsidRPr="009D005B">
              <w:t>Izvršenje 201</w:t>
            </w:r>
            <w:r>
              <w:t>9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77EBE29C" w14:textId="77777777" w:rsidR="00F815A6" w:rsidRPr="009D005B" w:rsidRDefault="00F815A6" w:rsidP="00B77EF7">
            <w:pPr>
              <w:jc w:val="center"/>
            </w:pPr>
            <w:r w:rsidRPr="009D005B">
              <w:t>Plan 20</w:t>
            </w:r>
            <w:r>
              <w:t>20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2F6165BF" w14:textId="77777777" w:rsidR="00F815A6" w:rsidRPr="009D005B" w:rsidRDefault="00F815A6" w:rsidP="00B77EF7">
            <w:pPr>
              <w:jc w:val="center"/>
            </w:pPr>
            <w:r w:rsidRPr="009D005B">
              <w:t>Plan 202</w:t>
            </w:r>
            <w:r>
              <w:t>1</w:t>
            </w:r>
            <w:r w:rsidRPr="009D005B">
              <w:t>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46891997" w14:textId="77777777" w:rsidR="00F815A6" w:rsidRPr="009D005B" w:rsidRDefault="00F815A6" w:rsidP="00B77EF7">
            <w:pPr>
              <w:jc w:val="center"/>
            </w:pPr>
            <w:r w:rsidRPr="009D005B">
              <w:t>Plan 202</w:t>
            </w:r>
            <w:r>
              <w:t>2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14A7A175" w14:textId="77777777" w:rsidR="00F815A6" w:rsidRPr="009D005B" w:rsidRDefault="00F815A6" w:rsidP="00B77EF7">
            <w:pPr>
              <w:jc w:val="center"/>
            </w:pPr>
            <w:r w:rsidRPr="009D005B">
              <w:t>Plan 202</w:t>
            </w:r>
            <w:r>
              <w:t>3</w:t>
            </w:r>
            <w:r w:rsidRPr="009D005B"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14:paraId="7DE9B2AF" w14:textId="77777777" w:rsidR="00F815A6" w:rsidRPr="009D005B" w:rsidRDefault="00F815A6" w:rsidP="00B77EF7">
            <w:pPr>
              <w:jc w:val="center"/>
            </w:pPr>
            <w:r w:rsidRPr="009D005B">
              <w:t>Indeks 2</w:t>
            </w:r>
            <w:r>
              <w:t>1</w:t>
            </w:r>
            <w:r w:rsidRPr="009D005B">
              <w:t>./</w:t>
            </w:r>
            <w:r>
              <w:t>20</w:t>
            </w:r>
            <w:r w:rsidRPr="009D005B">
              <w:t>.</w:t>
            </w:r>
          </w:p>
        </w:tc>
      </w:tr>
      <w:tr w:rsidR="0019549B" w:rsidRPr="009D005B" w14:paraId="63E87708" w14:textId="77777777" w:rsidTr="00B77EF7">
        <w:tc>
          <w:tcPr>
            <w:tcW w:w="1838" w:type="dxa"/>
          </w:tcPr>
          <w:p w14:paraId="3E1FB216" w14:textId="77777777" w:rsidR="00BB151E" w:rsidRDefault="00BB151E" w:rsidP="009F4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A621001</w:t>
            </w:r>
          </w:p>
          <w:p w14:paraId="7B125A47" w14:textId="0D335F2E" w:rsidR="00F815A6" w:rsidRPr="009D005B" w:rsidRDefault="00F815A6" w:rsidP="009F413D">
            <w:pPr>
              <w:jc w:val="center"/>
            </w:pPr>
          </w:p>
        </w:tc>
        <w:tc>
          <w:tcPr>
            <w:tcW w:w="1260" w:type="dxa"/>
          </w:tcPr>
          <w:p w14:paraId="0A1E5F37" w14:textId="37C25B35" w:rsidR="00F815A6" w:rsidRPr="009D005B" w:rsidRDefault="009F413D" w:rsidP="009F413D">
            <w:pPr>
              <w:jc w:val="center"/>
            </w:pPr>
            <w:r>
              <w:t>60,6%</w:t>
            </w:r>
          </w:p>
        </w:tc>
        <w:tc>
          <w:tcPr>
            <w:tcW w:w="1261" w:type="dxa"/>
          </w:tcPr>
          <w:p w14:paraId="4A37798D" w14:textId="6A861324" w:rsidR="00F815A6" w:rsidRPr="009D005B" w:rsidRDefault="009F413D" w:rsidP="009F413D">
            <w:pPr>
              <w:jc w:val="center"/>
            </w:pPr>
            <w:r>
              <w:t>62%</w:t>
            </w:r>
          </w:p>
        </w:tc>
        <w:tc>
          <w:tcPr>
            <w:tcW w:w="1261" w:type="dxa"/>
          </w:tcPr>
          <w:p w14:paraId="4D3EF562" w14:textId="4A62077A" w:rsidR="00F815A6" w:rsidRPr="009D005B" w:rsidRDefault="009F413D" w:rsidP="009F413D">
            <w:pPr>
              <w:jc w:val="center"/>
            </w:pPr>
            <w:r>
              <w:t>63,5%</w:t>
            </w:r>
          </w:p>
        </w:tc>
        <w:tc>
          <w:tcPr>
            <w:tcW w:w="1260" w:type="dxa"/>
          </w:tcPr>
          <w:p w14:paraId="03587E4E" w14:textId="3558A9F6" w:rsidR="00F815A6" w:rsidRPr="009D005B" w:rsidRDefault="009F413D" w:rsidP="009F413D">
            <w:pPr>
              <w:jc w:val="center"/>
            </w:pPr>
            <w:r>
              <w:t>65%</w:t>
            </w:r>
          </w:p>
        </w:tc>
        <w:tc>
          <w:tcPr>
            <w:tcW w:w="1261" w:type="dxa"/>
          </w:tcPr>
          <w:p w14:paraId="74F237AC" w14:textId="5ED8A288" w:rsidR="00F815A6" w:rsidRPr="009D005B" w:rsidRDefault="009F413D" w:rsidP="009F413D">
            <w:pPr>
              <w:jc w:val="center"/>
            </w:pPr>
            <w:r>
              <w:t>6</w:t>
            </w:r>
            <w:r w:rsidR="005D5720">
              <w:t>6</w:t>
            </w:r>
            <w:r>
              <w:t>,5%</w:t>
            </w:r>
          </w:p>
        </w:tc>
        <w:tc>
          <w:tcPr>
            <w:tcW w:w="1261" w:type="dxa"/>
          </w:tcPr>
          <w:p w14:paraId="0B4EAA50" w14:textId="3BF2E4BD" w:rsidR="00F815A6" w:rsidRPr="009D005B" w:rsidRDefault="007A1299" w:rsidP="0099453E">
            <w:pPr>
              <w:jc w:val="center"/>
            </w:pPr>
            <w:r>
              <w:t>109</w:t>
            </w:r>
          </w:p>
        </w:tc>
      </w:tr>
      <w:tr w:rsidR="0019549B" w:rsidRPr="009D005B" w14:paraId="4878C564" w14:textId="77777777" w:rsidTr="00B77EF7">
        <w:tc>
          <w:tcPr>
            <w:tcW w:w="1838" w:type="dxa"/>
          </w:tcPr>
          <w:p w14:paraId="061E0395" w14:textId="77777777" w:rsidR="00BB151E" w:rsidRDefault="00BB151E" w:rsidP="009F4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A622122</w:t>
            </w:r>
          </w:p>
          <w:p w14:paraId="7ED8389F" w14:textId="77777777" w:rsidR="00146A02" w:rsidRPr="009D005B" w:rsidRDefault="00146A02" w:rsidP="009F413D">
            <w:pPr>
              <w:jc w:val="center"/>
            </w:pPr>
          </w:p>
        </w:tc>
        <w:tc>
          <w:tcPr>
            <w:tcW w:w="1260" w:type="dxa"/>
          </w:tcPr>
          <w:p w14:paraId="48011BC8" w14:textId="1D8A2FF2" w:rsidR="00146A02" w:rsidRPr="009D005B" w:rsidRDefault="00B02E95" w:rsidP="00B02E95">
            <w:pPr>
              <w:jc w:val="center"/>
            </w:pPr>
            <w:r>
              <w:t>42/27</w:t>
            </w:r>
          </w:p>
        </w:tc>
        <w:tc>
          <w:tcPr>
            <w:tcW w:w="1261" w:type="dxa"/>
          </w:tcPr>
          <w:p w14:paraId="6D939069" w14:textId="53EAAD19" w:rsidR="00146A02" w:rsidRPr="009D005B" w:rsidRDefault="00B02E95" w:rsidP="00B02E95">
            <w:pPr>
              <w:jc w:val="center"/>
            </w:pPr>
            <w:r>
              <w:t>45/30</w:t>
            </w:r>
          </w:p>
        </w:tc>
        <w:tc>
          <w:tcPr>
            <w:tcW w:w="1261" w:type="dxa"/>
          </w:tcPr>
          <w:p w14:paraId="5117F44B" w14:textId="45AD98B5" w:rsidR="00146A02" w:rsidRPr="009D005B" w:rsidRDefault="00B02E95" w:rsidP="00B02E95">
            <w:pPr>
              <w:jc w:val="center"/>
            </w:pPr>
            <w:r>
              <w:t>47/32</w:t>
            </w:r>
          </w:p>
        </w:tc>
        <w:tc>
          <w:tcPr>
            <w:tcW w:w="1260" w:type="dxa"/>
          </w:tcPr>
          <w:p w14:paraId="1F03CDAB" w14:textId="7C334375" w:rsidR="00146A02" w:rsidRPr="009D005B" w:rsidRDefault="00B02E95" w:rsidP="00B02E95">
            <w:pPr>
              <w:jc w:val="center"/>
            </w:pPr>
            <w:r>
              <w:t>50/35</w:t>
            </w:r>
          </w:p>
        </w:tc>
        <w:tc>
          <w:tcPr>
            <w:tcW w:w="1261" w:type="dxa"/>
          </w:tcPr>
          <w:p w14:paraId="6FF5EC97" w14:textId="0844061A" w:rsidR="00146A02" w:rsidRPr="009D005B" w:rsidRDefault="00B02E95" w:rsidP="00B02E95">
            <w:pPr>
              <w:jc w:val="center"/>
            </w:pPr>
            <w:r>
              <w:t>52/37</w:t>
            </w:r>
          </w:p>
        </w:tc>
        <w:tc>
          <w:tcPr>
            <w:tcW w:w="1261" w:type="dxa"/>
          </w:tcPr>
          <w:p w14:paraId="48824408" w14:textId="44305BF3" w:rsidR="00146A02" w:rsidRPr="009D005B" w:rsidRDefault="007A1299" w:rsidP="007A1299">
            <w:pPr>
              <w:jc w:val="center"/>
            </w:pPr>
            <w:r>
              <w:t>112/107</w:t>
            </w:r>
          </w:p>
        </w:tc>
      </w:tr>
      <w:tr w:rsidR="0019549B" w:rsidRPr="009D005B" w14:paraId="4E080632" w14:textId="77777777" w:rsidTr="00B77EF7">
        <w:tc>
          <w:tcPr>
            <w:tcW w:w="1838" w:type="dxa"/>
          </w:tcPr>
          <w:p w14:paraId="01F44DF5" w14:textId="77777777" w:rsidR="00BB151E" w:rsidRDefault="00BB151E" w:rsidP="009F41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A679088</w:t>
            </w:r>
          </w:p>
          <w:p w14:paraId="6E83CC03" w14:textId="77777777" w:rsidR="00146A02" w:rsidRPr="009D005B" w:rsidRDefault="00146A02" w:rsidP="009F413D">
            <w:pPr>
              <w:jc w:val="center"/>
            </w:pPr>
          </w:p>
        </w:tc>
        <w:tc>
          <w:tcPr>
            <w:tcW w:w="1260" w:type="dxa"/>
          </w:tcPr>
          <w:p w14:paraId="5136766A" w14:textId="1BC678CE" w:rsidR="00146A02" w:rsidRPr="009D005B" w:rsidRDefault="007A1299" w:rsidP="007A1299">
            <w:pPr>
              <w:jc w:val="center"/>
            </w:pPr>
            <w:r>
              <w:t>61,5</w:t>
            </w:r>
            <w:r w:rsidR="0099453E">
              <w:t>%</w:t>
            </w:r>
          </w:p>
        </w:tc>
        <w:tc>
          <w:tcPr>
            <w:tcW w:w="1261" w:type="dxa"/>
          </w:tcPr>
          <w:p w14:paraId="3169ACEE" w14:textId="50E1E6F1" w:rsidR="00146A02" w:rsidRPr="009D005B" w:rsidRDefault="007A1299" w:rsidP="0099453E">
            <w:pPr>
              <w:jc w:val="center"/>
            </w:pPr>
            <w:r>
              <w:t>62,5</w:t>
            </w:r>
            <w:r w:rsidR="0099453E">
              <w:t>%</w:t>
            </w:r>
          </w:p>
        </w:tc>
        <w:tc>
          <w:tcPr>
            <w:tcW w:w="1261" w:type="dxa"/>
          </w:tcPr>
          <w:p w14:paraId="3E1BF9EE" w14:textId="1611354B" w:rsidR="00146A02" w:rsidRPr="009D005B" w:rsidRDefault="007A1299" w:rsidP="0099453E">
            <w:pPr>
              <w:jc w:val="center"/>
            </w:pPr>
            <w:r>
              <w:t>6</w:t>
            </w:r>
            <w:r w:rsidR="0019549B">
              <w:t>3</w:t>
            </w:r>
            <w:r w:rsidR="0099453E">
              <w:t>%</w:t>
            </w:r>
          </w:p>
        </w:tc>
        <w:tc>
          <w:tcPr>
            <w:tcW w:w="1260" w:type="dxa"/>
          </w:tcPr>
          <w:p w14:paraId="525006A3" w14:textId="11D670A4" w:rsidR="00146A02" w:rsidRPr="009D005B" w:rsidRDefault="007A1299" w:rsidP="0099453E">
            <w:pPr>
              <w:jc w:val="center"/>
            </w:pPr>
            <w:r>
              <w:t>6</w:t>
            </w:r>
            <w:r w:rsidR="0019549B">
              <w:t>4</w:t>
            </w:r>
            <w:r w:rsidR="0099453E">
              <w:t>%</w:t>
            </w:r>
          </w:p>
        </w:tc>
        <w:tc>
          <w:tcPr>
            <w:tcW w:w="1261" w:type="dxa"/>
          </w:tcPr>
          <w:p w14:paraId="631B799F" w14:textId="173F751A" w:rsidR="00146A02" w:rsidRPr="009D005B" w:rsidRDefault="007A1299" w:rsidP="0099453E">
            <w:pPr>
              <w:jc w:val="center"/>
            </w:pPr>
            <w:r>
              <w:t>6</w:t>
            </w:r>
            <w:r w:rsidR="0019549B">
              <w:t>5</w:t>
            </w:r>
            <w:r w:rsidR="0099453E">
              <w:t>%</w:t>
            </w:r>
          </w:p>
        </w:tc>
        <w:tc>
          <w:tcPr>
            <w:tcW w:w="1261" w:type="dxa"/>
          </w:tcPr>
          <w:p w14:paraId="3015C3DF" w14:textId="78FDFBCC" w:rsidR="00146A02" w:rsidRPr="009D005B" w:rsidRDefault="0099453E" w:rsidP="007A1299">
            <w:pPr>
              <w:jc w:val="center"/>
            </w:pPr>
            <w:r>
              <w:t>10</w:t>
            </w:r>
            <w:r w:rsidR="007A1299">
              <w:t>1</w:t>
            </w:r>
          </w:p>
        </w:tc>
      </w:tr>
    </w:tbl>
    <w:p w14:paraId="682B620B" w14:textId="71F1B7F2" w:rsidR="00F815A6" w:rsidRPr="009D005B" w:rsidRDefault="0019549B" w:rsidP="00F815A6">
      <w:pPr>
        <w:spacing w:before="240"/>
        <w:jc w:val="both"/>
        <w:rPr>
          <w:i/>
        </w:rPr>
      </w:pPr>
      <w:r>
        <w:rPr>
          <w:i/>
        </w:rPr>
        <w:lastRenderedPageBreak/>
        <w:t>Navedene aktivnosti uključuju slijedeće ciljeve</w:t>
      </w:r>
      <w:r w:rsidR="00F815A6" w:rsidRPr="009D005B">
        <w:rPr>
          <w:i/>
        </w:rPr>
        <w:t>/</w:t>
      </w:r>
      <w:r>
        <w:rPr>
          <w:i/>
        </w:rPr>
        <w:t>elemente</w:t>
      </w:r>
      <w:r w:rsidR="00F815A6" w:rsidRPr="009D005B">
        <w:rPr>
          <w:i/>
        </w:rPr>
        <w:t>:</w:t>
      </w:r>
    </w:p>
    <w:p w14:paraId="635D2EAA" w14:textId="55EFE26D" w:rsidR="00F815A6" w:rsidRPr="009D005B" w:rsidRDefault="009F413D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 xml:space="preserve">Povećanje udjela studenata koji ostvare 55 ECTS bodova i više sa sadašnjih 60% na 67,5 % do akademske godine 2023/2024. </w:t>
      </w:r>
    </w:p>
    <w:p w14:paraId="08D41477" w14:textId="09545218" w:rsidR="00F815A6" w:rsidRPr="009D005B" w:rsidRDefault="009F413D" w:rsidP="00F815A6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Povećanje broja radova objavljenih u WoS i SCOPUS bazama sa sada</w:t>
      </w:r>
      <w:r w:rsidR="00B02E95">
        <w:rPr>
          <w:i/>
        </w:rPr>
        <w:t>šnjih 42 i 27 za 15% do akademske godine 2023/2024.</w:t>
      </w:r>
    </w:p>
    <w:p w14:paraId="73CFAB23" w14:textId="6B8AD40E" w:rsidR="00BB151E" w:rsidRDefault="00B02E95" w:rsidP="00BB151E">
      <w:pPr>
        <w:pStyle w:val="ListParagraph"/>
        <w:numPr>
          <w:ilvl w:val="0"/>
          <w:numId w:val="2"/>
        </w:numPr>
        <w:jc w:val="both"/>
        <w:rPr>
          <w:i/>
        </w:rPr>
      </w:pPr>
      <w:r>
        <w:rPr>
          <w:i/>
        </w:rPr>
        <w:t>Povećanje udjela studenata upisanih u studij koji završe studij</w:t>
      </w:r>
      <w:r w:rsidR="00F65E97">
        <w:rPr>
          <w:i/>
        </w:rPr>
        <w:t xml:space="preserve"> u roku</w:t>
      </w:r>
      <w:r>
        <w:rPr>
          <w:i/>
        </w:rPr>
        <w:t xml:space="preserve">, odnosno povećanje omjera broja upisanih studenata i studenata </w:t>
      </w:r>
      <w:r w:rsidR="00931673">
        <w:rPr>
          <w:i/>
        </w:rPr>
        <w:t xml:space="preserve">koji završe studij u roku </w:t>
      </w:r>
      <w:r>
        <w:rPr>
          <w:i/>
        </w:rPr>
        <w:t xml:space="preserve">za </w:t>
      </w:r>
      <w:r w:rsidR="0019549B">
        <w:rPr>
          <w:i/>
        </w:rPr>
        <w:t>5</w:t>
      </w:r>
      <w:r>
        <w:rPr>
          <w:i/>
        </w:rPr>
        <w:t>% do akademske godine 2023/2024.</w:t>
      </w:r>
    </w:p>
    <w:p w14:paraId="55E63A53" w14:textId="32BC84E1" w:rsidR="00B2558B" w:rsidRPr="007A1299" w:rsidRDefault="0019549B" w:rsidP="0019549B">
      <w:pPr>
        <w:jc w:val="both"/>
      </w:pPr>
      <w:r w:rsidRPr="007A1299">
        <w:t xml:space="preserve">Navedeni ciljevi se ostvaruju u okviru redovnih aktivnosti Fakulteta političkih znanosti za koje su osigurana sredstva predviđena planom. Povećanje broja studenata koji ostvaruju 55 ECTS bodova i više ostvaruje se preko aktivnosti povezanih uz povećanje kvalitete nastave, odnosno uvođenje novih metoda izvođenja nastave i metoda provjere znanja, </w:t>
      </w:r>
      <w:r w:rsidR="00B2558B" w:rsidRPr="007A1299">
        <w:t>veće</w:t>
      </w:r>
      <w:r w:rsidRPr="007A1299">
        <w:t xml:space="preserve"> korištenj</w:t>
      </w:r>
      <w:r w:rsidR="00B2558B" w:rsidRPr="007A1299">
        <w:t>e</w:t>
      </w:r>
      <w:r w:rsidRPr="007A1299">
        <w:t xml:space="preserve"> mrežnih alata u nastavi, </w:t>
      </w:r>
      <w:r w:rsidR="00B2558B" w:rsidRPr="007A1299">
        <w:t>veći udio</w:t>
      </w:r>
      <w:r w:rsidRPr="007A1299">
        <w:t xml:space="preserve"> praktične nastave i </w:t>
      </w:r>
      <w:r w:rsidR="00B2558B" w:rsidRPr="007A1299">
        <w:t>veće korištenje novih metoda provjere znanja. Iste mjere trebale bi doprinijeti povećanju završivosti studija, odnosno povećanju omjera</w:t>
      </w:r>
      <w:r w:rsidR="007A1299" w:rsidRPr="007A1299">
        <w:t xml:space="preserve"> studenata koji završe studij u roku i broja studenata upisanih na studij</w:t>
      </w:r>
      <w:r w:rsidR="00B2558B" w:rsidRPr="007A1299">
        <w:t xml:space="preserve">. Mjere za ostvarenje ovih ciljeva odnose se na nabavu opreme, edukaciju nastavnika, izmjene studijskih programa, bolju razmjenu dobrih praksi unutar institucije te uvođenje novih računalnih aplikacija u upotrebu u nastavi. Povećanje </w:t>
      </w:r>
      <w:r w:rsidR="005B4BBA" w:rsidRPr="007A1299">
        <w:t xml:space="preserve">broja radova objavljenih u časopisima referenciranim u WoS i SCOPUS bazama ostvaruje se preko aktivnosti koje se odnose na veću potporu objavljivanju, organiziranje radionica za edukaciju nastavnika, potporu sudjelovanju u međunarodnim znanstvenim skupovima, nabavu računalnih aplikacija za analizu podataka i slične aktivnosti. </w:t>
      </w:r>
    </w:p>
    <w:p w14:paraId="2891F03A" w14:textId="77777777" w:rsidR="00F815A6" w:rsidRPr="009D005B" w:rsidRDefault="00F815A6" w:rsidP="00F815A6">
      <w:pPr>
        <w:pStyle w:val="ListParagraph"/>
        <w:jc w:val="both"/>
        <w:rPr>
          <w:i/>
        </w:rPr>
      </w:pPr>
    </w:p>
    <w:tbl>
      <w:tblPr>
        <w:tblStyle w:val="TableGrid"/>
        <w:tblW w:w="96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1560"/>
        <w:gridCol w:w="1118"/>
        <w:gridCol w:w="1119"/>
        <w:gridCol w:w="1119"/>
        <w:gridCol w:w="1119"/>
        <w:gridCol w:w="1119"/>
        <w:gridCol w:w="1119"/>
      </w:tblGrid>
      <w:tr w:rsidR="00F815A6" w:rsidRPr="009D005B" w14:paraId="1A1A66E8" w14:textId="77777777" w:rsidTr="0099453E">
        <w:tc>
          <w:tcPr>
            <w:tcW w:w="1413" w:type="dxa"/>
            <w:shd w:val="clear" w:color="auto" w:fill="D0CECE" w:themeFill="background2" w:themeFillShade="E6"/>
            <w:vAlign w:val="center"/>
          </w:tcPr>
          <w:p w14:paraId="01B99FA4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492DFD64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045EC29F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425CF759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0389E3E8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BF8F533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1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78E38F06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2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4CF2CFCA" w14:textId="77777777" w:rsidR="00F815A6" w:rsidRPr="009D005B" w:rsidRDefault="00F815A6" w:rsidP="00B77EF7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>
              <w:rPr>
                <w:sz w:val="20"/>
              </w:rPr>
              <w:t>3</w:t>
            </w:r>
            <w:r w:rsidRPr="009D005B">
              <w:rPr>
                <w:sz w:val="20"/>
              </w:rPr>
              <w:t>.</w:t>
            </w:r>
          </w:p>
        </w:tc>
      </w:tr>
      <w:tr w:rsidR="0099453E" w:rsidRPr="009D005B" w14:paraId="6D9801FF" w14:textId="77777777" w:rsidTr="006D507B"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A82B0" w14:textId="24DBE7FC" w:rsidR="0099453E" w:rsidRPr="009D005B" w:rsidRDefault="0099453E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Udio studenata koji ostvare 55 ECTS bodova i više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45A74" w14:textId="05F8C0C0" w:rsidR="0099453E" w:rsidRPr="009D005B" w:rsidRDefault="0099453E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iCs/>
                <w:sz w:val="20"/>
                <w:szCs w:val="20"/>
              </w:rPr>
              <w:t>Udio studenata koji ostvare 55 ECTS bodova i više u odnosu na ukupan broj studenata upisanih na preddiplomske i diplomske studije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D6AD" w14:textId="77777777" w:rsidR="0099453E" w:rsidRPr="009D005B" w:rsidRDefault="0099453E" w:rsidP="0099453E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Postotak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EA714" w14:textId="0047692E" w:rsidR="0099453E" w:rsidRPr="009D005B" w:rsidRDefault="005D5720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  <w:r w:rsidR="0099453E"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C8A40" w14:textId="469E8A33" w:rsidR="0099453E" w:rsidRPr="009D005B" w:rsidRDefault="0099453E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Referada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086E1" w14:textId="40ED4CCA" w:rsidR="0099453E" w:rsidRPr="009D005B" w:rsidRDefault="005D5720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63,5</w:t>
            </w:r>
            <w:r w:rsidR="0099453E"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3201C" w14:textId="1F61EC13" w:rsidR="0099453E" w:rsidRPr="009D005B" w:rsidRDefault="005D5720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  <w:r w:rsidR="0099453E" w:rsidRPr="009D005B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398C1" w14:textId="7590E28B" w:rsidR="0099453E" w:rsidRPr="009D005B" w:rsidRDefault="005D5720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66,5</w:t>
            </w:r>
            <w:r w:rsidR="0099453E" w:rsidRPr="009D005B">
              <w:rPr>
                <w:i/>
                <w:sz w:val="20"/>
              </w:rPr>
              <w:t>%</w:t>
            </w:r>
          </w:p>
        </w:tc>
      </w:tr>
      <w:tr w:rsidR="00F815A6" w:rsidRPr="009D005B" w14:paraId="300C16A5" w14:textId="77777777" w:rsidTr="0099453E">
        <w:tc>
          <w:tcPr>
            <w:tcW w:w="1413" w:type="dxa"/>
            <w:vAlign w:val="center"/>
          </w:tcPr>
          <w:p w14:paraId="7B918453" w14:textId="5B22D1C6" w:rsidR="00F815A6" w:rsidRPr="009D005B" w:rsidRDefault="0099453E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Povećanje broja objavljenih radova referenciranih u WoS i SCOPUS bazi radova </w:t>
            </w:r>
          </w:p>
        </w:tc>
        <w:tc>
          <w:tcPr>
            <w:tcW w:w="1560" w:type="dxa"/>
            <w:vAlign w:val="center"/>
          </w:tcPr>
          <w:p w14:paraId="188E6B8D" w14:textId="7CF93DA0" w:rsidR="00F815A6" w:rsidRPr="009D005B" w:rsidRDefault="0099453E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Broj objavljenih radova referenciranih u WoS i SCOPUS bazi radova</w:t>
            </w:r>
          </w:p>
        </w:tc>
        <w:tc>
          <w:tcPr>
            <w:tcW w:w="1118" w:type="dxa"/>
            <w:vAlign w:val="center"/>
          </w:tcPr>
          <w:p w14:paraId="2AC0BC64" w14:textId="7100EFFA" w:rsidR="00F815A6" w:rsidRPr="009D005B" w:rsidRDefault="0099453E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Broj</w:t>
            </w:r>
          </w:p>
        </w:tc>
        <w:tc>
          <w:tcPr>
            <w:tcW w:w="1119" w:type="dxa"/>
            <w:vAlign w:val="center"/>
          </w:tcPr>
          <w:p w14:paraId="3F081CB3" w14:textId="2D1037DC" w:rsidR="00F815A6" w:rsidRPr="009D005B" w:rsidRDefault="005D5720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45/30</w:t>
            </w:r>
          </w:p>
        </w:tc>
        <w:tc>
          <w:tcPr>
            <w:tcW w:w="1119" w:type="dxa"/>
            <w:vAlign w:val="center"/>
          </w:tcPr>
          <w:p w14:paraId="3541C6BC" w14:textId="364B5319" w:rsidR="00F815A6" w:rsidRPr="009D005B" w:rsidRDefault="0099453E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Knjižnica</w:t>
            </w:r>
          </w:p>
        </w:tc>
        <w:tc>
          <w:tcPr>
            <w:tcW w:w="1119" w:type="dxa"/>
            <w:vAlign w:val="center"/>
          </w:tcPr>
          <w:p w14:paraId="3771ED9E" w14:textId="633F0E50" w:rsidR="00F815A6" w:rsidRPr="009D005B" w:rsidRDefault="0099453E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  <w:r w:rsidR="0019549B">
              <w:rPr>
                <w:i/>
                <w:sz w:val="20"/>
              </w:rPr>
              <w:t>7</w:t>
            </w:r>
            <w:r>
              <w:rPr>
                <w:i/>
                <w:sz w:val="20"/>
              </w:rPr>
              <w:t>/3</w:t>
            </w:r>
            <w:r w:rsidR="0019549B">
              <w:rPr>
                <w:i/>
                <w:sz w:val="20"/>
              </w:rPr>
              <w:t>2</w:t>
            </w:r>
          </w:p>
        </w:tc>
        <w:tc>
          <w:tcPr>
            <w:tcW w:w="1119" w:type="dxa"/>
            <w:vAlign w:val="center"/>
          </w:tcPr>
          <w:p w14:paraId="28B59FA4" w14:textId="62BA6376" w:rsidR="00F815A6" w:rsidRPr="009D005B" w:rsidRDefault="0019549B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  <w:r w:rsidR="0099453E"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35</w:t>
            </w:r>
          </w:p>
        </w:tc>
        <w:tc>
          <w:tcPr>
            <w:tcW w:w="1119" w:type="dxa"/>
            <w:vAlign w:val="center"/>
          </w:tcPr>
          <w:p w14:paraId="5ABA16DE" w14:textId="7E535B05" w:rsidR="00F815A6" w:rsidRPr="009D005B" w:rsidRDefault="0099453E" w:rsidP="00B77EF7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 w:rsidR="0019549B">
              <w:rPr>
                <w:i/>
                <w:sz w:val="20"/>
              </w:rPr>
              <w:t>2</w:t>
            </w:r>
            <w:r>
              <w:rPr>
                <w:i/>
                <w:sz w:val="20"/>
              </w:rPr>
              <w:t>/3</w:t>
            </w:r>
            <w:r w:rsidR="0019549B">
              <w:rPr>
                <w:i/>
                <w:sz w:val="20"/>
              </w:rPr>
              <w:t>7</w:t>
            </w:r>
          </w:p>
        </w:tc>
      </w:tr>
      <w:tr w:rsidR="0099453E" w:rsidRPr="009D005B" w14:paraId="33F87EE4" w14:textId="77777777" w:rsidTr="0099453E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575DF1DA" w14:textId="3CDED6F9" w:rsidR="0099453E" w:rsidRDefault="0099453E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Povećanje broja udjela studenata koji završe studij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A141D20" w14:textId="709BEE73" w:rsidR="0099453E" w:rsidRPr="009D005B" w:rsidRDefault="0099453E" w:rsidP="007A129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Udio studenata koja završe studij u </w:t>
            </w:r>
            <w:r w:rsidR="00F65E97">
              <w:rPr>
                <w:i/>
                <w:sz w:val="20"/>
              </w:rPr>
              <w:t xml:space="preserve">roku u </w:t>
            </w:r>
            <w:r>
              <w:rPr>
                <w:i/>
                <w:sz w:val="20"/>
              </w:rPr>
              <w:t xml:space="preserve">odnosu na ukupan broj </w:t>
            </w:r>
            <w:r w:rsidR="007A1299">
              <w:rPr>
                <w:i/>
                <w:sz w:val="20"/>
              </w:rPr>
              <w:t xml:space="preserve">studenata </w:t>
            </w:r>
            <w:r>
              <w:rPr>
                <w:i/>
                <w:sz w:val="20"/>
              </w:rPr>
              <w:t>upisanih</w:t>
            </w:r>
            <w:r w:rsidR="007A1299">
              <w:rPr>
                <w:i/>
                <w:sz w:val="20"/>
              </w:rPr>
              <w:t xml:space="preserve"> na studij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00AE21CE" w14:textId="05A4F9B9" w:rsidR="0099453E" w:rsidRPr="009D005B" w:rsidRDefault="0099453E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Postotak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35392C2" w14:textId="4CEF2CEA" w:rsidR="0099453E" w:rsidRPr="009D005B" w:rsidRDefault="007A1299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 w:rsidR="0099453E">
              <w:rPr>
                <w:i/>
                <w:sz w:val="20"/>
              </w:rPr>
              <w:t>2%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831FBCA" w14:textId="7AFA2D7F" w:rsidR="0099453E" w:rsidRDefault="0099453E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Referada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0953529" w14:textId="073FDF02" w:rsidR="0099453E" w:rsidRPr="009D005B" w:rsidRDefault="007A1299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 w:rsidR="0019549B">
              <w:rPr>
                <w:i/>
                <w:sz w:val="20"/>
              </w:rPr>
              <w:t>3</w:t>
            </w:r>
            <w:r w:rsidR="0099453E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17252DA4" w14:textId="6263D3F4" w:rsidR="0099453E" w:rsidRPr="009D005B" w:rsidRDefault="007A1299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 w:rsidR="0019549B">
              <w:rPr>
                <w:i/>
                <w:sz w:val="20"/>
              </w:rPr>
              <w:t>4</w:t>
            </w:r>
            <w:r w:rsidR="0099453E">
              <w:rPr>
                <w:i/>
                <w:sz w:val="20"/>
              </w:rPr>
              <w:t>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0854B034" w14:textId="123D25DB" w:rsidR="0099453E" w:rsidRPr="009D005B" w:rsidRDefault="007A1299" w:rsidP="0099453E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  <w:r w:rsidR="0019549B">
              <w:rPr>
                <w:i/>
                <w:sz w:val="20"/>
              </w:rPr>
              <w:t>5%</w:t>
            </w:r>
          </w:p>
        </w:tc>
      </w:tr>
    </w:tbl>
    <w:p w14:paraId="5ACD832B" w14:textId="77777777" w:rsidR="00F815A6" w:rsidRPr="009D005B" w:rsidRDefault="00F815A6" w:rsidP="00F815A6">
      <w:pPr>
        <w:jc w:val="both"/>
      </w:pPr>
    </w:p>
    <w:sectPr w:rsidR="00F815A6" w:rsidRPr="009D005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0F662D" w14:textId="77777777" w:rsidR="004E347D" w:rsidRDefault="004E347D">
      <w:pPr>
        <w:spacing w:after="0" w:line="240" w:lineRule="auto"/>
      </w:pPr>
      <w:r>
        <w:separator/>
      </w:r>
    </w:p>
  </w:endnote>
  <w:endnote w:type="continuationSeparator" w:id="0">
    <w:p w14:paraId="658DF2E7" w14:textId="77777777" w:rsidR="004E347D" w:rsidRDefault="004E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A00002AF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5515545"/>
      <w:docPartObj>
        <w:docPartGallery w:val="Page Numbers (Bottom of Page)"/>
        <w:docPartUnique/>
      </w:docPartObj>
    </w:sdtPr>
    <w:sdtEndPr/>
    <w:sdtContent>
      <w:p w14:paraId="23FF1A98" w14:textId="74622154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299">
          <w:rPr>
            <w:noProof/>
          </w:rPr>
          <w:t>2</w:t>
        </w:r>
        <w:r>
          <w:fldChar w:fldCharType="end"/>
        </w:r>
      </w:p>
    </w:sdtContent>
  </w:sdt>
  <w:p w14:paraId="0CAC0786" w14:textId="77777777" w:rsidR="009D005B" w:rsidRDefault="004E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E4814" w14:textId="77777777" w:rsidR="004E347D" w:rsidRDefault="004E347D">
      <w:pPr>
        <w:spacing w:after="0" w:line="240" w:lineRule="auto"/>
      </w:pPr>
      <w:r>
        <w:separator/>
      </w:r>
    </w:p>
  </w:footnote>
  <w:footnote w:type="continuationSeparator" w:id="0">
    <w:p w14:paraId="791F3233" w14:textId="77777777" w:rsidR="004E347D" w:rsidRDefault="004E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146A02"/>
    <w:rsid w:val="0019549B"/>
    <w:rsid w:val="001B0F7A"/>
    <w:rsid w:val="00220BF7"/>
    <w:rsid w:val="00227D81"/>
    <w:rsid w:val="002C7121"/>
    <w:rsid w:val="002D444E"/>
    <w:rsid w:val="003239CD"/>
    <w:rsid w:val="00324025"/>
    <w:rsid w:val="00375507"/>
    <w:rsid w:val="003B2CF0"/>
    <w:rsid w:val="004C3A59"/>
    <w:rsid w:val="004E02C5"/>
    <w:rsid w:val="004E347D"/>
    <w:rsid w:val="00585281"/>
    <w:rsid w:val="005B4BBA"/>
    <w:rsid w:val="005D5720"/>
    <w:rsid w:val="006C038A"/>
    <w:rsid w:val="00703212"/>
    <w:rsid w:val="007820B9"/>
    <w:rsid w:val="00792B0B"/>
    <w:rsid w:val="007A1299"/>
    <w:rsid w:val="008223B8"/>
    <w:rsid w:val="00846E65"/>
    <w:rsid w:val="00861C74"/>
    <w:rsid w:val="008750BD"/>
    <w:rsid w:val="00931673"/>
    <w:rsid w:val="0099453E"/>
    <w:rsid w:val="009A65A8"/>
    <w:rsid w:val="009E2203"/>
    <w:rsid w:val="009F413D"/>
    <w:rsid w:val="00AB741F"/>
    <w:rsid w:val="00B02E95"/>
    <w:rsid w:val="00B2558B"/>
    <w:rsid w:val="00B7598C"/>
    <w:rsid w:val="00BB151E"/>
    <w:rsid w:val="00BB47B9"/>
    <w:rsid w:val="00BD7FDD"/>
    <w:rsid w:val="00BE741E"/>
    <w:rsid w:val="00C84559"/>
    <w:rsid w:val="00CB764D"/>
    <w:rsid w:val="00DA7AFE"/>
    <w:rsid w:val="00E83B73"/>
    <w:rsid w:val="00EF05CF"/>
    <w:rsid w:val="00F12286"/>
    <w:rsid w:val="00F2590B"/>
    <w:rsid w:val="00F65E97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FD6E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9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Milva Pavičin Karamatić</cp:lastModifiedBy>
  <cp:revision>2</cp:revision>
  <dcterms:created xsi:type="dcterms:W3CDTF">2020-10-21T08:13:00Z</dcterms:created>
  <dcterms:modified xsi:type="dcterms:W3CDTF">2020-10-21T08:13:00Z</dcterms:modified>
</cp:coreProperties>
</file>